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475D" w14:textId="77777777" w:rsidR="00C84F6C" w:rsidRPr="00C84F6C" w:rsidRDefault="00C84F6C" w:rsidP="00C84F6C">
      <w:r w:rsidRPr="00C84F6C">
        <w:rPr>
          <w:b/>
          <w:bCs/>
        </w:rPr>
        <w:t xml:space="preserve">A </w:t>
      </w:r>
      <w:proofErr w:type="spellStart"/>
      <w:r w:rsidRPr="00C84F6C">
        <w:rPr>
          <w:b/>
          <w:bCs/>
        </w:rPr>
        <w:t>labor</w:t>
      </w:r>
      <w:proofErr w:type="spellEnd"/>
      <w:r w:rsidRPr="00C84F6C">
        <w:rPr>
          <w:b/>
          <w:bCs/>
        </w:rPr>
        <w:t xml:space="preserve"> of love</w:t>
      </w:r>
    </w:p>
    <w:p w14:paraId="17508917" w14:textId="77777777" w:rsidR="00C84F6C" w:rsidRPr="00C84F6C" w:rsidRDefault="00C84F6C" w:rsidP="00C84F6C">
      <w:r w:rsidRPr="00C84F6C">
        <w:t>This column and I have a strange relationship.</w:t>
      </w:r>
    </w:p>
    <w:p w14:paraId="07A7E3B7" w14:textId="77777777" w:rsidR="00C84F6C" w:rsidRPr="00C84F6C" w:rsidRDefault="00C84F6C" w:rsidP="00C84F6C">
      <w:r w:rsidRPr="00C84F6C">
        <w:t xml:space="preserve">There was a point in my life where I’d treat it with borderline avoidant </w:t>
      </w:r>
      <w:proofErr w:type="spellStart"/>
      <w:r w:rsidRPr="00C84F6C">
        <w:t>behavior</w:t>
      </w:r>
      <w:proofErr w:type="spellEnd"/>
      <w:r w:rsidRPr="00C84F6C">
        <w:t xml:space="preserve"> — like putting off a trip to the dentist or sidestepping an awkward conversation with a friend or family member. I hated writing in the first person and on some level, I was intimidated by all the work that went into putting together our 50 Growers Across America report.</w:t>
      </w:r>
    </w:p>
    <w:p w14:paraId="4ED7AB56" w14:textId="77777777" w:rsidR="00C84F6C" w:rsidRPr="00C84F6C" w:rsidRDefault="00C84F6C" w:rsidP="00C84F6C">
      <w:r w:rsidRPr="00C84F6C">
        <w:t>Even opening the Excel sheet which contained the underlying data wasn’t a particularly comfortable experience (it had a nasty habit of crashing my laptop).</w:t>
      </w:r>
    </w:p>
    <w:p w14:paraId="42D4E380" w14:textId="77777777" w:rsidR="00C84F6C" w:rsidRPr="00C84F6C" w:rsidRDefault="00C84F6C" w:rsidP="00C84F6C">
      <w:r w:rsidRPr="00C84F6C">
        <w:t>I’m pleased to report that things are a lot different now. Maybe not necessarily with my discomfort with writing in the first person, but with how I view this project and what it means for us.</w:t>
      </w:r>
    </w:p>
    <w:p w14:paraId="7C28767E" w14:textId="631C86ED" w:rsidR="00C84F6C" w:rsidRPr="00C84F6C" w:rsidRDefault="00C84F6C" w:rsidP="00C84F6C">
      <w:r w:rsidRPr="00C84F6C">
        <w:drawing>
          <wp:inline distT="0" distB="0" distL="0" distR="0" wp14:anchorId="7915A35C" wp14:editId="3BCA8351">
            <wp:extent cx="933450" cy="1704975"/>
            <wp:effectExtent l="0" t="0" r="0" b="9525"/>
            <wp:docPr id="2019610869" name="Picture 8" descr="Illi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inoi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3450" cy="1704975"/>
                    </a:xfrm>
                    <a:prstGeom prst="rect">
                      <a:avLst/>
                    </a:prstGeom>
                    <a:noFill/>
                    <a:ln>
                      <a:noFill/>
                    </a:ln>
                  </pic:spPr>
                </pic:pic>
              </a:graphicData>
            </a:graphic>
          </wp:inline>
        </w:drawing>
      </w:r>
    </w:p>
    <w:p w14:paraId="3756CD8A" w14:textId="77777777" w:rsidR="00C84F6C" w:rsidRPr="00C84F6C" w:rsidRDefault="00C84F6C" w:rsidP="00C84F6C">
      <w:r w:rsidRPr="00C84F6C">
        <w:t>Here’s a little secret. We may have developed a reputation here at Citywire RIA for breaking news, but this project is consistently the most-read piece of journalism we put out every single year.</w:t>
      </w:r>
      <w:r w:rsidRPr="00C84F6C">
        <w:rPr>
          <w:rFonts w:ascii="Arial" w:hAnsi="Arial" w:cs="Arial"/>
        </w:rPr>
        <w:t> </w:t>
      </w:r>
    </w:p>
    <w:p w14:paraId="1817F416" w14:textId="77777777" w:rsidR="00C84F6C" w:rsidRPr="00C84F6C" w:rsidRDefault="00C84F6C" w:rsidP="00C84F6C">
      <w:r w:rsidRPr="00C84F6C">
        <w:t>And it’s easy to see why. RIAs around the country want to know how they rank, which peers they can use as measuring sticks and — as we’ve observed happen more than a few times — identify future acquisition targets to boost their own growth rates.</w:t>
      </w:r>
    </w:p>
    <w:p w14:paraId="69FBB85F" w14:textId="77777777" w:rsidR="00C84F6C" w:rsidRPr="00C84F6C" w:rsidRDefault="00C84F6C" w:rsidP="00C84F6C">
      <w:r w:rsidRPr="00C84F6C">
        <w:t>Because here’s another secret: Growing in this industry isn’t nearly as easy as it looks. Many firms’ growth is illusory, with a record bull run papering over weak (or negative) organic growth rates.</w:t>
      </w:r>
      <w:r w:rsidRPr="00C84F6C">
        <w:rPr>
          <w:rFonts w:ascii="Arial" w:hAnsi="Arial" w:cs="Arial"/>
        </w:rPr>
        <w:t> </w:t>
      </w:r>
    </w:p>
    <w:p w14:paraId="78DD002E" w14:textId="77777777" w:rsidR="00C84F6C" w:rsidRPr="00C84F6C" w:rsidRDefault="00C84F6C" w:rsidP="00C84F6C">
      <w:r w:rsidRPr="00C84F6C">
        <w:t>The firms we’ve identified in this report have found a way, whether it be through referrals, recruiting or acquisitions, to build sticky, repeatable processes to grow.</w:t>
      </w:r>
    </w:p>
    <w:p w14:paraId="515CE596" w14:textId="5BA39BDA" w:rsidR="00C84F6C" w:rsidRPr="00C84F6C" w:rsidRDefault="00C84F6C" w:rsidP="00C84F6C">
      <w:r w:rsidRPr="00C84F6C">
        <w:lastRenderedPageBreak/>
        <w:drawing>
          <wp:inline distT="0" distB="0" distL="0" distR="0" wp14:anchorId="4E28F456" wp14:editId="66A82516">
            <wp:extent cx="1276350" cy="2333625"/>
            <wp:effectExtent l="0" t="0" r="0" b="9525"/>
            <wp:docPr id="2132775662" name="Picture 7" descr="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aliforn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2333625"/>
                    </a:xfrm>
                    <a:prstGeom prst="rect">
                      <a:avLst/>
                    </a:prstGeom>
                    <a:noFill/>
                    <a:ln>
                      <a:noFill/>
                    </a:ln>
                  </pic:spPr>
                </pic:pic>
              </a:graphicData>
            </a:graphic>
          </wp:inline>
        </w:drawing>
      </w:r>
    </w:p>
    <w:p w14:paraId="73E09583" w14:textId="77777777" w:rsidR="00C84F6C" w:rsidRPr="00C84F6C" w:rsidRDefault="00C84F6C" w:rsidP="00C84F6C">
      <w:r w:rsidRPr="00C84F6C">
        <w:t xml:space="preserve">Now, a brief aside on methodology. Using Form ADV data compiled for us by FINTRX, we comb through all 50 states and the District of Columbia and filter for firms which are growing the fastest in their region based on their percentage of AUM growth, raw AUM growth and employee headcount growth. Our proverbial ‘secret sauce’ is combining those </w:t>
      </w:r>
      <w:proofErr w:type="gramStart"/>
      <w:r w:rsidRPr="00C84F6C">
        <w:t>aforementioned numbers</w:t>
      </w:r>
      <w:proofErr w:type="gramEnd"/>
      <w:r w:rsidRPr="00C84F6C">
        <w:t xml:space="preserve"> into a single data point we call the ‘growth factor.’</w:t>
      </w:r>
    </w:p>
    <w:p w14:paraId="09D4C39F" w14:textId="77777777" w:rsidR="00C84F6C" w:rsidRPr="00C84F6C" w:rsidRDefault="00C84F6C" w:rsidP="00C84F6C">
      <w:r w:rsidRPr="00C84F6C">
        <w:t>From there, our crack team of reporters — myself, Andrew Foerch, Sam Bojarski, Alec Rich and Faye Kilburn — reach out to the fastest-growing firms in each state. Some of them are recognizable names who are eager to share with us elements of their business strategies. Others very likely didn’t want to be found.</w:t>
      </w:r>
    </w:p>
    <w:p w14:paraId="42615625" w14:textId="77777777" w:rsidR="00C84F6C" w:rsidRPr="00C84F6C" w:rsidRDefault="00C84F6C" w:rsidP="00C84F6C">
      <w:r w:rsidRPr="00C84F6C">
        <w:t>What I’ve come to love the most about this project is that, at the end of the day, it is an act of reporting. We’re presented with objective information, synthesize it the best we can, and go out and try to learn something new. That’s what journalism is about.</w:t>
      </w:r>
    </w:p>
    <w:p w14:paraId="2B32A9CD" w14:textId="4530D57E" w:rsidR="00C84F6C" w:rsidRPr="00C84F6C" w:rsidRDefault="00C84F6C" w:rsidP="00C84F6C">
      <w:r w:rsidRPr="00C84F6C">
        <w:drawing>
          <wp:inline distT="0" distB="0" distL="0" distR="0" wp14:anchorId="14326116" wp14:editId="353ECC4F">
            <wp:extent cx="1276350" cy="1428750"/>
            <wp:effectExtent l="0" t="0" r="0" b="0"/>
            <wp:docPr id="240638964" name="Picture 6" descr="Rhode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hode Isla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1428750"/>
                    </a:xfrm>
                    <a:prstGeom prst="rect">
                      <a:avLst/>
                    </a:prstGeom>
                    <a:noFill/>
                    <a:ln>
                      <a:noFill/>
                    </a:ln>
                  </pic:spPr>
                </pic:pic>
              </a:graphicData>
            </a:graphic>
          </wp:inline>
        </w:drawing>
      </w:r>
    </w:p>
    <w:p w14:paraId="51A8E793" w14:textId="77777777" w:rsidR="00C84F6C" w:rsidRPr="00C84F6C" w:rsidRDefault="00C84F6C" w:rsidP="00C84F6C">
      <w:r w:rsidRPr="00C84F6C">
        <w:t xml:space="preserve">Is it a lot of work? Sure! But </w:t>
      </w:r>
      <w:proofErr w:type="gramStart"/>
      <w:r w:rsidRPr="00C84F6C">
        <w:t>the end result</w:t>
      </w:r>
      <w:proofErr w:type="gramEnd"/>
      <w:r w:rsidRPr="00C84F6C">
        <w:t xml:space="preserve"> is more than worth it.</w:t>
      </w:r>
    </w:p>
    <w:p w14:paraId="57C8E4E4" w14:textId="77777777" w:rsidR="00C84F6C" w:rsidRPr="00C84F6C" w:rsidRDefault="00C84F6C" w:rsidP="00C84F6C">
      <w:r w:rsidRPr="00C84F6C">
        <w:t>This project is the product of more than just our editorial team. It requires everyone across Citywire to perform at their best, whether it be our design and website teams or our resident data whiz, Joseph Loveland.</w:t>
      </w:r>
    </w:p>
    <w:p w14:paraId="5101EDA5" w14:textId="77777777" w:rsidR="00C84F6C" w:rsidRPr="00C84F6C" w:rsidRDefault="00C84F6C" w:rsidP="00C84F6C">
      <w:r w:rsidRPr="00C84F6C">
        <w:t xml:space="preserve">One last housekeeping point before I wrap up: Our work here is based on end-of-year 2025 data. However, the AUM numbers you’ll see are the most recent figures that </w:t>
      </w:r>
      <w:proofErr w:type="spellStart"/>
      <w:r w:rsidRPr="00C84F6C">
        <w:t>honorees</w:t>
      </w:r>
      <w:proofErr w:type="spellEnd"/>
      <w:r w:rsidRPr="00C84F6C">
        <w:t xml:space="preserve"> have reported to the Securities and Exchange Commission. Those two numbers might not necessarily match up.</w:t>
      </w:r>
    </w:p>
    <w:p w14:paraId="5206C595" w14:textId="77777777" w:rsidR="00C84F6C" w:rsidRPr="00C84F6C" w:rsidRDefault="00C84F6C" w:rsidP="00C84F6C">
      <w:r w:rsidRPr="00C84F6C">
        <w:lastRenderedPageBreak/>
        <w:t xml:space="preserve">Now, I think you’ve read just about enough from me. Whether you’re a </w:t>
      </w:r>
      <w:proofErr w:type="gramStart"/>
      <w:r w:rsidRPr="00C84F6C">
        <w:t>first-timer</w:t>
      </w:r>
      <w:proofErr w:type="gramEnd"/>
      <w:r w:rsidRPr="00C84F6C">
        <w:t xml:space="preserve"> to this report or you’ve been around since day one, thank you for reading.</w:t>
      </w:r>
    </w:p>
    <w:p w14:paraId="68D6BB85" w14:textId="5405E824" w:rsidR="00C84F6C" w:rsidRPr="00C84F6C" w:rsidRDefault="00C84F6C" w:rsidP="00C84F6C">
      <w:r w:rsidRPr="00C84F6C">
        <w:drawing>
          <wp:inline distT="0" distB="0" distL="0" distR="0" wp14:anchorId="6BC3344C" wp14:editId="158615FB">
            <wp:extent cx="952500" cy="952500"/>
            <wp:effectExtent l="0" t="0" r="0" b="0"/>
            <wp:docPr id="736083448" name="Picture 5" descr="Ian We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an Weni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E4C7B8" w14:textId="77777777" w:rsidR="00C84F6C" w:rsidRPr="00C84F6C" w:rsidRDefault="00C84F6C" w:rsidP="00C84F6C">
      <w:r w:rsidRPr="00C84F6C">
        <w:rPr>
          <w:b/>
          <w:bCs/>
        </w:rPr>
        <w:t>Ian Wenik</w:t>
      </w:r>
      <w:r w:rsidRPr="00C84F6C">
        <w:br/>
        <w:t>Editor, Citywire RIA</w:t>
      </w:r>
    </w:p>
    <w:p w14:paraId="482DBFDD" w14:textId="77777777" w:rsidR="00B55811" w:rsidRDefault="00B55811"/>
    <w:sectPr w:rsidR="00B558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F6C"/>
    <w:rsid w:val="00A53014"/>
    <w:rsid w:val="00B55811"/>
    <w:rsid w:val="00C84F6C"/>
    <w:rsid w:val="00DB455B"/>
    <w:rsid w:val="00DB6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E958"/>
  <w15:chartTrackingRefBased/>
  <w15:docId w15:val="{8FC3034E-7F4D-4B37-B025-D277CA9A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F6C"/>
    <w:rPr>
      <w:rFonts w:eastAsiaTheme="majorEastAsia" w:cstheme="majorBidi"/>
      <w:color w:val="272727" w:themeColor="text1" w:themeTint="D8"/>
    </w:rPr>
  </w:style>
  <w:style w:type="paragraph" w:styleId="Title">
    <w:name w:val="Title"/>
    <w:basedOn w:val="Normal"/>
    <w:next w:val="Normal"/>
    <w:link w:val="TitleChar"/>
    <w:uiPriority w:val="10"/>
    <w:qFormat/>
    <w:rsid w:val="00C84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F6C"/>
    <w:pPr>
      <w:spacing w:before="160"/>
      <w:jc w:val="center"/>
    </w:pPr>
    <w:rPr>
      <w:i/>
      <w:iCs/>
      <w:color w:val="404040" w:themeColor="text1" w:themeTint="BF"/>
    </w:rPr>
  </w:style>
  <w:style w:type="character" w:customStyle="1" w:styleId="QuoteChar">
    <w:name w:val="Quote Char"/>
    <w:basedOn w:val="DefaultParagraphFont"/>
    <w:link w:val="Quote"/>
    <w:uiPriority w:val="29"/>
    <w:rsid w:val="00C84F6C"/>
    <w:rPr>
      <w:i/>
      <w:iCs/>
      <w:color w:val="404040" w:themeColor="text1" w:themeTint="BF"/>
    </w:rPr>
  </w:style>
  <w:style w:type="paragraph" w:styleId="ListParagraph">
    <w:name w:val="List Paragraph"/>
    <w:basedOn w:val="Normal"/>
    <w:uiPriority w:val="34"/>
    <w:qFormat/>
    <w:rsid w:val="00C84F6C"/>
    <w:pPr>
      <w:ind w:left="720"/>
      <w:contextualSpacing/>
    </w:pPr>
  </w:style>
  <w:style w:type="character" w:styleId="IntenseEmphasis">
    <w:name w:val="Intense Emphasis"/>
    <w:basedOn w:val="DefaultParagraphFont"/>
    <w:uiPriority w:val="21"/>
    <w:qFormat/>
    <w:rsid w:val="00C84F6C"/>
    <w:rPr>
      <w:i/>
      <w:iCs/>
      <w:color w:val="0F4761" w:themeColor="accent1" w:themeShade="BF"/>
    </w:rPr>
  </w:style>
  <w:style w:type="paragraph" w:styleId="IntenseQuote">
    <w:name w:val="Intense Quote"/>
    <w:basedOn w:val="Normal"/>
    <w:next w:val="Normal"/>
    <w:link w:val="IntenseQuoteChar"/>
    <w:uiPriority w:val="30"/>
    <w:qFormat/>
    <w:rsid w:val="00C84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F6C"/>
    <w:rPr>
      <w:i/>
      <w:iCs/>
      <w:color w:val="0F4761" w:themeColor="accent1" w:themeShade="BF"/>
    </w:rPr>
  </w:style>
  <w:style w:type="character" w:styleId="IntenseReference">
    <w:name w:val="Intense Reference"/>
    <w:basedOn w:val="DefaultParagraphFont"/>
    <w:uiPriority w:val="32"/>
    <w:qFormat/>
    <w:rsid w:val="00C84F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497</Words>
  <Characters>2837</Characters>
  <Application>Microsoft Office Word</Application>
  <DocSecurity>0</DocSecurity>
  <Lines>23</Lines>
  <Paragraphs>6</Paragraphs>
  <ScaleCrop>false</ScaleCrop>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Polly Willshire</dc:creator>
  <cp:keywords/>
  <dc:description/>
  <cp:lastModifiedBy>Polly Willshire</cp:lastModifiedBy>
  <cp:revision>1</cp:revision>
  <dcterms:created xsi:type="dcterms:W3CDTF">2026-09-03T08:41:00Z</dcterms:created>
  <dcterms:modified xsi:type="dcterms:W3CDTF">2026-09-03T08:42:00Z</dcterms:modified>
</cp:coreProperties>
</file>